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7335" w14:textId="77777777" w:rsidR="00912322" w:rsidRPr="005B2F6A" w:rsidRDefault="00912322" w:rsidP="00912322">
      <w:pPr>
        <w:pStyle w:val="a8"/>
        <w:spacing w:line="276" w:lineRule="auto"/>
        <w:jc w:val="both"/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</w:pP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 xml:space="preserve">1. Зайти в </w:t>
      </w:r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>браузер MS EDGE</w:t>
      </w: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 xml:space="preserve"> на адресу edge://settings.</w:t>
      </w:r>
    </w:p>
    <w:p w14:paraId="21138129" w14:textId="77777777" w:rsidR="00912322" w:rsidRPr="005B2F6A" w:rsidRDefault="00912322" w:rsidP="00912322">
      <w:pPr>
        <w:pStyle w:val="a8"/>
        <w:spacing w:line="276" w:lineRule="auto"/>
        <w:jc w:val="both"/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</w:pP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 xml:space="preserve">2. Далі обрати розділ </w:t>
      </w:r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>“Параметри”</w:t>
      </w: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>, натиснути на пункт меню</w:t>
      </w:r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 xml:space="preserve"> “Стандартний браузер” </w:t>
      </w: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 xml:space="preserve">й обрати </w:t>
      </w:r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 xml:space="preserve">“Сторінки режиму </w:t>
      </w:r>
      <w:proofErr w:type="spellStart"/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>Internet</w:t>
      </w:r>
      <w:proofErr w:type="spellEnd"/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 xml:space="preserve"> Explorer” </w:t>
      </w: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 xml:space="preserve">і </w:t>
      </w:r>
      <w:r w:rsidRPr="005B2F6A">
        <w:rPr>
          <w:rFonts w:ascii="Amalia" w:eastAsia="Times New Roman" w:hAnsi="Amalia" w:cs="Times New Roman"/>
          <w:b/>
          <w:bCs/>
          <w:color w:val="00B0F0"/>
          <w:bdr w:val="none" w:sz="0" w:space="0" w:color="auto" w:frame="1"/>
          <w:lang w:eastAsia="ru-RU"/>
        </w:rPr>
        <w:t>“Додати”</w:t>
      </w:r>
      <w:r w:rsidRPr="005B2F6A">
        <w:rPr>
          <w:rFonts w:ascii="Amalia" w:eastAsia="Times New Roman" w:hAnsi="Amalia" w:cs="Times New Roman"/>
          <w:color w:val="00B0F0"/>
          <w:bdr w:val="none" w:sz="0" w:space="0" w:color="auto" w:frame="1"/>
          <w:lang w:eastAsia="ru-RU"/>
        </w:rPr>
        <w:t>:</w:t>
      </w:r>
    </w:p>
    <w:p w14:paraId="044ED19F" w14:textId="77777777" w:rsidR="00912322" w:rsidRPr="006B7281" w:rsidRDefault="00912322" w:rsidP="00912322">
      <w:pPr>
        <w:pStyle w:val="a3"/>
        <w:jc w:val="both"/>
        <w:rPr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2E51F4B" wp14:editId="0AEE6D58">
            <wp:extent cx="1727200" cy="2258645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96" cy="228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7E6D" w14:textId="77777777" w:rsidR="00912322" w:rsidRPr="005B2F6A" w:rsidRDefault="00912322" w:rsidP="00912322">
      <w:pPr>
        <w:pStyle w:val="a3"/>
        <w:rPr>
          <w:rFonts w:ascii="Amalia" w:eastAsiaTheme="minorEastAsia" w:hAnsi="Amalia" w:cstheme="minorBidi"/>
          <w:color w:val="00B0F0"/>
          <w:sz w:val="22"/>
          <w:szCs w:val="22"/>
          <w:bdr w:val="none" w:sz="0" w:space="0" w:color="auto" w:frame="1"/>
        </w:rPr>
      </w:pPr>
      <w:r w:rsidRPr="005B2F6A">
        <w:rPr>
          <w:rFonts w:ascii="Amalia" w:eastAsiaTheme="minorEastAsia" w:hAnsi="Amalia" w:cstheme="minorBidi"/>
          <w:color w:val="00B0F0"/>
          <w:sz w:val="22"/>
          <w:szCs w:val="22"/>
          <w:bdr w:val="none" w:sz="0" w:space="0" w:color="auto" w:frame="1"/>
          <w:lang w:val="uk-UA"/>
        </w:rPr>
        <w:t>Натиснути</w:t>
      </w:r>
      <w:r w:rsidRPr="005B2F6A">
        <w:rPr>
          <w:rFonts w:ascii="Amalia" w:eastAsiaTheme="minorEastAsia" w:hAnsi="Amalia" w:cstheme="minorBidi"/>
          <w:color w:val="00B0F0"/>
          <w:sz w:val="22"/>
          <w:szCs w:val="22"/>
          <w:bdr w:val="none" w:sz="0" w:space="0" w:color="auto" w:frame="1"/>
        </w:rPr>
        <w:t xml:space="preserve"> на кнопку</w:t>
      </w:r>
      <w:r w:rsidRPr="005B2F6A">
        <w:rPr>
          <w:rFonts w:ascii="Amalia" w:eastAsiaTheme="minorEastAsia" w:hAnsi="Amalia" w:cstheme="minorBidi"/>
          <w:b/>
          <w:bCs/>
          <w:color w:val="00B0F0"/>
          <w:sz w:val="22"/>
          <w:szCs w:val="22"/>
          <w:bdr w:val="none" w:sz="0" w:space="0" w:color="auto" w:frame="1"/>
        </w:rPr>
        <w:t xml:space="preserve"> “</w:t>
      </w:r>
      <w:proofErr w:type="spellStart"/>
      <w:r w:rsidRPr="005B2F6A">
        <w:rPr>
          <w:rFonts w:ascii="Amalia" w:eastAsiaTheme="minorEastAsia" w:hAnsi="Amalia" w:cstheme="minorBidi"/>
          <w:b/>
          <w:bCs/>
          <w:color w:val="00B0F0"/>
          <w:sz w:val="22"/>
          <w:szCs w:val="22"/>
          <w:bdr w:val="none" w:sz="0" w:space="0" w:color="auto" w:frame="1"/>
        </w:rPr>
        <w:t>Додати</w:t>
      </w:r>
      <w:proofErr w:type="spellEnd"/>
      <w:r w:rsidRPr="005B2F6A">
        <w:rPr>
          <w:rFonts w:ascii="Amalia" w:eastAsiaTheme="minorEastAsia" w:hAnsi="Amalia" w:cstheme="minorBidi"/>
          <w:b/>
          <w:bCs/>
          <w:color w:val="00B0F0"/>
          <w:sz w:val="22"/>
          <w:szCs w:val="22"/>
          <w:bdr w:val="none" w:sz="0" w:space="0" w:color="auto" w:frame="1"/>
        </w:rPr>
        <w:t>”:</w:t>
      </w:r>
      <w:r w:rsidRPr="005B2F6A">
        <w:rPr>
          <w:rFonts w:ascii="Amalia" w:eastAsiaTheme="minorHAnsi" w:hAnsi="Amalia" w:cstheme="minorBidi"/>
          <w:b/>
          <w:bCs/>
          <w:noProof/>
          <w:color w:val="00B0F0"/>
          <w:sz w:val="22"/>
          <w:szCs w:val="22"/>
          <w:bdr w:val="none" w:sz="0" w:space="0" w:color="auto" w:frame="1"/>
        </w:rPr>
        <w:drawing>
          <wp:inline distT="0" distB="0" distL="0" distR="0" wp14:anchorId="77E58E6D" wp14:editId="3C95D40C">
            <wp:extent cx="6044339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74" cy="53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083E" w14:textId="77777777" w:rsidR="00912322" w:rsidRPr="005B2F6A" w:rsidRDefault="00912322" w:rsidP="00912322">
      <w:pPr>
        <w:pStyle w:val="a3"/>
        <w:spacing w:before="0" w:beforeAutospacing="0" w:after="0" w:afterAutospacing="0"/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</w:pPr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>3. Вказати адреси:</w:t>
      </w:r>
    </w:p>
    <w:p w14:paraId="36181AE6" w14:textId="77777777" w:rsidR="00912322" w:rsidRPr="005B2F6A" w:rsidRDefault="00912322" w:rsidP="00912322">
      <w:pPr>
        <w:pStyle w:val="a3"/>
        <w:spacing w:before="0" w:beforeAutospacing="0" w:after="0" w:afterAutospacing="0"/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</w:pPr>
      <w:hyperlink r:id="rId9" w:history="1">
        <w:r w:rsidRPr="005B2F6A">
          <w:rPr>
            <w:rStyle w:val="a4"/>
            <w:rFonts w:ascii="Amalia" w:hAnsi="Amalia"/>
            <w:color w:val="00B0F0"/>
            <w:sz w:val="22"/>
            <w:szCs w:val="22"/>
            <w:bdr w:val="none" w:sz="0" w:space="0" w:color="auto" w:frame="1"/>
            <w:lang w:val="uk-UA"/>
          </w:rPr>
          <w:t>https://ibank.aval.ua</w:t>
        </w:r>
      </w:hyperlink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 xml:space="preserve"> </w:t>
      </w:r>
    </w:p>
    <w:p w14:paraId="55CCC45E" w14:textId="77777777" w:rsidR="00912322" w:rsidRPr="005B2F6A" w:rsidRDefault="00912322" w:rsidP="00912322">
      <w:pPr>
        <w:pStyle w:val="a3"/>
        <w:spacing w:before="0" w:beforeAutospacing="0" w:after="0" w:afterAutospacing="0"/>
        <w:rPr>
          <w:rStyle w:val="a4"/>
          <w:color w:val="00B0F0"/>
          <w:lang w:val="uk-UA"/>
        </w:rPr>
      </w:pPr>
      <w:hyperlink r:id="rId10" w:tgtFrame="_blank" w:tooltip="https://ibank.aval.ua/internet-banking.html" w:history="1">
        <w:r w:rsidRPr="005B2F6A">
          <w:rPr>
            <w:rStyle w:val="a4"/>
            <w:rFonts w:ascii="Amalia" w:hAnsi="Amalia"/>
            <w:color w:val="00B0F0"/>
            <w:sz w:val="22"/>
            <w:szCs w:val="22"/>
            <w:bdr w:val="none" w:sz="0" w:space="0" w:color="auto" w:frame="1"/>
            <w:lang w:val="uk-UA"/>
          </w:rPr>
          <w:t>https://ibank.aval.ua/internet-banking.html</w:t>
        </w:r>
      </w:hyperlink>
    </w:p>
    <w:p w14:paraId="2B9629AF" w14:textId="77777777" w:rsidR="00912322" w:rsidRPr="005B2F6A" w:rsidRDefault="00912322" w:rsidP="00912322">
      <w:pPr>
        <w:pStyle w:val="a3"/>
        <w:spacing w:before="0" w:beforeAutospacing="0" w:after="0" w:afterAutospacing="0"/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</w:pPr>
      <w:hyperlink r:id="rId11" w:tgtFrame="_blank" w:tooltip="https://ibank.aval.ua/multiclient.html" w:history="1">
        <w:r w:rsidRPr="005B2F6A">
          <w:rPr>
            <w:rStyle w:val="a4"/>
            <w:rFonts w:ascii="Amalia" w:hAnsi="Amalia"/>
            <w:color w:val="00B0F0"/>
            <w:sz w:val="22"/>
            <w:szCs w:val="22"/>
            <w:bdr w:val="none" w:sz="0" w:space="0" w:color="auto" w:frame="1"/>
            <w:lang w:val="uk-UA"/>
          </w:rPr>
          <w:t>https://ibank.aval.ua/multiclient.html</w:t>
        </w:r>
      </w:hyperlink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 xml:space="preserve"> (у разі використання послуг: </w:t>
      </w:r>
      <w:proofErr w:type="spellStart"/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>мультиклієнт</w:t>
      </w:r>
      <w:proofErr w:type="spellEnd"/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>, центр фінансового контролю та консолідованої виписки)</w:t>
      </w:r>
    </w:p>
    <w:p w14:paraId="3AC9E8C1" w14:textId="77777777" w:rsidR="00912322" w:rsidRPr="00E92331" w:rsidRDefault="00912322" w:rsidP="00912322">
      <w:pPr>
        <w:pStyle w:val="a3"/>
        <w:rPr>
          <w:rFonts w:ascii="Amalia" w:eastAsiaTheme="minorEastAsia" w:hAnsi="Amalia" w:cstheme="minorBidi"/>
          <w:color w:val="201F1E"/>
          <w:sz w:val="22"/>
          <w:szCs w:val="22"/>
          <w:bdr w:val="none" w:sz="0" w:space="0" w:color="auto" w:frame="1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AF4B24A" wp14:editId="7868AA3B">
            <wp:extent cx="5581650" cy="106444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15" cy="10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0735" w14:textId="77777777" w:rsidR="00912322" w:rsidRDefault="00912322" w:rsidP="00912322">
      <w:pPr>
        <w:pStyle w:val="a3"/>
        <w:rPr>
          <w:rFonts w:ascii="Amalia" w:hAnsi="Amalia"/>
          <w:color w:val="201F1E"/>
          <w:sz w:val="22"/>
          <w:szCs w:val="22"/>
          <w:bdr w:val="none" w:sz="0" w:space="0" w:color="auto" w:frame="1"/>
          <w:lang w:val="uk-UA"/>
        </w:rPr>
      </w:pPr>
    </w:p>
    <w:p w14:paraId="7C6866F3" w14:textId="77777777" w:rsidR="00912322" w:rsidRDefault="00912322" w:rsidP="00912322">
      <w:pPr>
        <w:pStyle w:val="a3"/>
        <w:rPr>
          <w:rFonts w:ascii="Amalia" w:hAnsi="Amalia"/>
          <w:color w:val="201F1E"/>
          <w:sz w:val="22"/>
          <w:szCs w:val="22"/>
          <w:bdr w:val="none" w:sz="0" w:space="0" w:color="auto" w:frame="1"/>
          <w:lang w:val="uk-UA"/>
        </w:rPr>
      </w:pPr>
    </w:p>
    <w:p w14:paraId="4C426B4B" w14:textId="77777777" w:rsidR="00912322" w:rsidRPr="005B2F6A" w:rsidRDefault="00912322" w:rsidP="00912322">
      <w:pPr>
        <w:pStyle w:val="a3"/>
        <w:rPr>
          <w:color w:val="00B0F0"/>
        </w:rPr>
      </w:pPr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 xml:space="preserve">4. Встановити дозвіл завантажувати сайти в режимі </w:t>
      </w:r>
      <w:proofErr w:type="spellStart"/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>Internet</w:t>
      </w:r>
      <w:proofErr w:type="spellEnd"/>
      <w:r w:rsidRPr="005B2F6A">
        <w:rPr>
          <w:rFonts w:ascii="Amalia" w:hAnsi="Amalia"/>
          <w:color w:val="00B0F0"/>
          <w:sz w:val="22"/>
          <w:szCs w:val="22"/>
          <w:bdr w:val="none" w:sz="0" w:space="0" w:color="auto" w:frame="1"/>
          <w:lang w:val="uk-UA"/>
        </w:rPr>
        <w:t xml:space="preserve"> Explorer</w:t>
      </w:r>
      <w:r w:rsidRPr="005B2F6A">
        <w:rPr>
          <w:color w:val="00B0F0"/>
          <w:sz w:val="22"/>
          <w:szCs w:val="22"/>
        </w:rPr>
        <w:t>:</w:t>
      </w:r>
      <w:r w:rsidRPr="005B2F6A">
        <w:rPr>
          <w:noProof/>
          <w:color w:val="00B0F0"/>
        </w:rPr>
        <w:drawing>
          <wp:inline distT="0" distB="0" distL="0" distR="0" wp14:anchorId="6257821B" wp14:editId="52273C92">
            <wp:extent cx="5499100" cy="12414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3826" cy="12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EF31" w14:textId="77777777" w:rsidR="00912322" w:rsidRPr="005B2F6A" w:rsidRDefault="00912322" w:rsidP="00912322">
      <w:pPr>
        <w:jc w:val="both"/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</w:pP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5. Зайти через </w:t>
      </w:r>
      <w:r w:rsidRPr="005B2F6A">
        <w:rPr>
          <w:rFonts w:ascii="Amalia" w:eastAsia="Times New Roman" w:hAnsi="Amalia"/>
          <w:b/>
          <w:bCs/>
          <w:color w:val="00B0F0"/>
          <w:bdr w:val="none" w:sz="0" w:space="0" w:color="auto" w:frame="1"/>
          <w:lang w:eastAsia="ru-RU"/>
        </w:rPr>
        <w:t>MS EDGE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на сторінку </w:t>
      </w:r>
      <w:hyperlink r:id="rId14" w:history="1">
        <w:r w:rsidRPr="005B2F6A">
          <w:rPr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https://ibank.aval.ua/internet-banking.html</w:t>
        </w:r>
      </w:hyperlink>
    </w:p>
    <w:p w14:paraId="43570790" w14:textId="77777777" w:rsidR="00912322" w:rsidRPr="005B2F6A" w:rsidRDefault="00912322" w:rsidP="00912322">
      <w:pPr>
        <w:jc w:val="both"/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</w:pPr>
      <w:r w:rsidRPr="005B2F6A">
        <w:rPr>
          <w:rFonts w:ascii="Amalia" w:eastAsia="Times New Roman" w:hAnsi="Amalia"/>
          <w:b/>
          <w:bCs/>
          <w:color w:val="00B0F0"/>
          <w:bdr w:val="none" w:sz="0" w:space="0" w:color="auto" w:frame="1"/>
          <w:lang w:eastAsia="ru-RU"/>
        </w:rPr>
        <w:lastRenderedPageBreak/>
        <w:t xml:space="preserve">Будь ласка, зверніть увагу!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>Дані налаштування за замовчанням діють протягом місяця, тому через місяць вищевказані дії потрібно буде повторити.</w:t>
      </w:r>
    </w:p>
    <w:p w14:paraId="7CC9F434" w14:textId="77777777" w:rsidR="00912322" w:rsidRPr="005B2F6A" w:rsidRDefault="00912322" w:rsidP="00912322">
      <w:pPr>
        <w:jc w:val="both"/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</w:pP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Як альтернативу також пропонуємо використовувати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val="en-US" w:eastAsia="ru-RU"/>
        </w:rPr>
        <w:t>Internet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val="en-US" w:eastAsia="ru-RU"/>
        </w:rPr>
        <w:t>Banking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val="en-US" w:eastAsia="ru-RU"/>
        </w:rPr>
        <w:t>Raiffeisen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val="en-US" w:eastAsia="ru-RU"/>
        </w:rPr>
        <w:t>Business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val="en-US" w:eastAsia="ru-RU"/>
        </w:rPr>
        <w:t>Online</w:t>
      </w:r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 (</w:t>
      </w:r>
      <w:hyperlink r:id="rId15" w:history="1"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val="en-US" w:eastAsia="ru-RU"/>
          </w:rPr>
          <w:t>https</w:t>
        </w:r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://</w:t>
        </w:r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val="en-US" w:eastAsia="ru-RU"/>
          </w:rPr>
          <w:t>web</w:t>
        </w:r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.</w:t>
        </w:r>
        <w:proofErr w:type="spellStart"/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val="en-US" w:eastAsia="ru-RU"/>
          </w:rPr>
          <w:t>raiffeisen</w:t>
        </w:r>
        <w:proofErr w:type="spellEnd"/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.</w:t>
        </w:r>
        <w:proofErr w:type="spellStart"/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val="en-US" w:eastAsia="ru-RU"/>
          </w:rPr>
          <w:t>ua</w:t>
        </w:r>
        <w:proofErr w:type="spellEnd"/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/</w:t>
        </w:r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val="en-US" w:eastAsia="ru-RU"/>
          </w:rPr>
          <w:t>web</w:t>
        </w:r>
        <w:r w:rsidRPr="005B2F6A">
          <w:rPr>
            <w:rStyle w:val="a4"/>
            <w:rFonts w:ascii="Amalia" w:eastAsia="Times New Roman" w:hAnsi="Amalia"/>
            <w:color w:val="00B0F0"/>
            <w:bdr w:val="none" w:sz="0" w:space="0" w:color="auto" w:frame="1"/>
            <w:lang w:eastAsia="ru-RU"/>
          </w:rPr>
          <w:t>/</w:t>
        </w:r>
      </w:hyperlink>
      <w:r w:rsidRPr="005B2F6A">
        <w:rPr>
          <w:rFonts w:ascii="Amalia" w:eastAsia="Times New Roman" w:hAnsi="Amalia"/>
          <w:color w:val="00B0F0"/>
          <w:bdr w:val="none" w:sz="0" w:space="0" w:color="auto" w:frame="1"/>
          <w:lang w:eastAsia="ru-RU"/>
        </w:rPr>
        <w:t xml:space="preserve">), яка працює у наступних операційних системах і браузерах: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912322" w:rsidRPr="005B2F6A" w14:paraId="62DA11AE" w14:textId="77777777" w:rsidTr="009D2B33">
        <w:tc>
          <w:tcPr>
            <w:tcW w:w="5168" w:type="dxa"/>
            <w:tcBorders>
              <w:right w:val="single" w:sz="18" w:space="0" w:color="auto"/>
            </w:tcBorders>
            <w:vAlign w:val="center"/>
          </w:tcPr>
          <w:p w14:paraId="6AAA675F" w14:textId="77777777" w:rsidR="00912322" w:rsidRPr="005B2F6A" w:rsidRDefault="00912322" w:rsidP="009D2B3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malia" w:hAnsi="Amalia"/>
                <w:color w:val="00B0F0"/>
                <w:sz w:val="20"/>
                <w:szCs w:val="20"/>
                <w:lang w:val="uk-UA"/>
              </w:rPr>
            </w:pPr>
            <w:r w:rsidRPr="005B2F6A">
              <w:rPr>
                <w:rFonts w:ascii="Amalia" w:hAnsi="Amalia"/>
                <w:color w:val="00B0F0"/>
                <w:sz w:val="20"/>
                <w:szCs w:val="20"/>
                <w:lang w:val="en-US"/>
              </w:rPr>
              <w:t>Windows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uk-UA"/>
              </w:rPr>
              <w:t xml:space="preserve"> (старші за 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en-US"/>
              </w:rPr>
              <w:t>Windows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uk-UA"/>
              </w:rPr>
              <w:t xml:space="preserve"> 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en-US"/>
              </w:rPr>
              <w:t>XP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uk-UA"/>
              </w:rPr>
              <w:t>), *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en-US"/>
              </w:rPr>
              <w:t>nix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uk-UA"/>
              </w:rPr>
              <w:t xml:space="preserve"> або </w:t>
            </w:r>
            <w:r w:rsidRPr="005B2F6A">
              <w:rPr>
                <w:rFonts w:ascii="Amalia" w:hAnsi="Amalia"/>
                <w:color w:val="00B0F0"/>
                <w:sz w:val="20"/>
                <w:szCs w:val="20"/>
              </w:rPr>
              <w:t>M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en-US"/>
              </w:rPr>
              <w:t>a</w:t>
            </w:r>
            <w:r w:rsidRPr="005B2F6A">
              <w:rPr>
                <w:rFonts w:ascii="Amalia" w:hAnsi="Amalia"/>
                <w:color w:val="00B0F0"/>
                <w:sz w:val="20"/>
                <w:szCs w:val="20"/>
              </w:rPr>
              <w:t>c</w:t>
            </w:r>
            <w:r w:rsidRPr="005B2F6A">
              <w:rPr>
                <w:rFonts w:ascii="Amalia" w:hAnsi="Amalia"/>
                <w:color w:val="00B0F0"/>
                <w:sz w:val="20"/>
                <w:szCs w:val="20"/>
                <w:lang w:val="uk-UA"/>
              </w:rPr>
              <w:t>.</w:t>
            </w:r>
          </w:p>
        </w:tc>
        <w:tc>
          <w:tcPr>
            <w:tcW w:w="5169" w:type="dxa"/>
            <w:tcBorders>
              <w:left w:val="single" w:sz="18" w:space="0" w:color="auto"/>
            </w:tcBorders>
            <w:vAlign w:val="center"/>
          </w:tcPr>
          <w:p w14:paraId="264CAAB7" w14:textId="77777777" w:rsidR="00912322" w:rsidRPr="005B2F6A" w:rsidRDefault="00912322" w:rsidP="00912322">
            <w:pPr>
              <w:pStyle w:val="a5"/>
              <w:numPr>
                <w:ilvl w:val="0"/>
                <w:numId w:val="1"/>
              </w:numPr>
              <w:rPr>
                <w:rFonts w:ascii="Amalia" w:hAnsi="Amalia"/>
                <w:color w:val="00B0F0"/>
                <w:lang w:val="uk-UA"/>
              </w:rPr>
            </w:pPr>
            <w:r w:rsidRPr="005B2F6A">
              <w:rPr>
                <w:rFonts w:ascii="Amalia" w:hAnsi="Amalia"/>
                <w:color w:val="00B0F0"/>
                <w:lang w:val="en-US"/>
              </w:rPr>
              <w:t>Microsoft</w:t>
            </w:r>
            <w:r w:rsidRPr="005B2F6A">
              <w:rPr>
                <w:rFonts w:ascii="Amalia" w:hAnsi="Amalia"/>
                <w:color w:val="00B0F0"/>
                <w:lang w:val="uk-UA"/>
              </w:rPr>
              <w:t xml:space="preserve"> </w:t>
            </w:r>
            <w:r w:rsidRPr="005B2F6A">
              <w:rPr>
                <w:rFonts w:ascii="Amalia" w:hAnsi="Amalia"/>
                <w:color w:val="00B0F0"/>
                <w:lang w:val="en-US"/>
              </w:rPr>
              <w:t>Edge</w:t>
            </w:r>
            <w:r w:rsidRPr="005B2F6A">
              <w:rPr>
                <w:rFonts w:ascii="Amalia" w:hAnsi="Amalia"/>
                <w:color w:val="00B0F0"/>
                <w:lang w:val="uk-UA"/>
              </w:rPr>
              <w:t xml:space="preserve"> останньої актуальної версії,</w:t>
            </w:r>
          </w:p>
          <w:p w14:paraId="663DE3FA" w14:textId="77777777" w:rsidR="00912322" w:rsidRPr="005B2F6A" w:rsidRDefault="00912322" w:rsidP="00912322">
            <w:pPr>
              <w:pStyle w:val="a5"/>
              <w:numPr>
                <w:ilvl w:val="0"/>
                <w:numId w:val="1"/>
              </w:numPr>
              <w:rPr>
                <w:rFonts w:ascii="Amalia" w:hAnsi="Amalia"/>
                <w:color w:val="00B0F0"/>
                <w:lang w:val="uk-UA"/>
              </w:rPr>
            </w:pPr>
            <w:r w:rsidRPr="005B2F6A">
              <w:rPr>
                <w:rFonts w:ascii="Amalia" w:hAnsi="Amalia"/>
                <w:color w:val="00B0F0"/>
                <w:lang w:val="en-US"/>
              </w:rPr>
              <w:t xml:space="preserve">Mozilla </w:t>
            </w:r>
            <w:proofErr w:type="spellStart"/>
            <w:r w:rsidRPr="005B2F6A">
              <w:rPr>
                <w:rFonts w:ascii="Amalia" w:hAnsi="Amalia"/>
                <w:color w:val="00B0F0"/>
                <w:lang w:val="en-US"/>
              </w:rPr>
              <w:t>FireFox</w:t>
            </w:r>
            <w:proofErr w:type="spellEnd"/>
            <w:r w:rsidRPr="005B2F6A">
              <w:rPr>
                <w:rFonts w:ascii="Amalia" w:hAnsi="Amalia"/>
                <w:color w:val="00B0F0"/>
                <w:lang w:val="en-US"/>
              </w:rPr>
              <w:t xml:space="preserve"> 15.0 </w:t>
            </w:r>
            <w:r w:rsidRPr="005B2F6A">
              <w:rPr>
                <w:rFonts w:ascii="Amalia" w:hAnsi="Amalia"/>
                <w:color w:val="00B0F0"/>
                <w:lang w:val="uk-UA"/>
              </w:rPr>
              <w:t>та вище,</w:t>
            </w:r>
          </w:p>
          <w:p w14:paraId="6F5FE22E" w14:textId="77777777" w:rsidR="00912322" w:rsidRPr="005B2F6A" w:rsidRDefault="00912322" w:rsidP="00912322">
            <w:pPr>
              <w:pStyle w:val="a5"/>
              <w:numPr>
                <w:ilvl w:val="0"/>
                <w:numId w:val="1"/>
              </w:numPr>
              <w:rPr>
                <w:rFonts w:ascii="Amalia" w:hAnsi="Amalia"/>
                <w:color w:val="00B0F0"/>
                <w:lang w:val="uk-UA"/>
              </w:rPr>
            </w:pPr>
            <w:r w:rsidRPr="005B2F6A">
              <w:rPr>
                <w:rFonts w:ascii="Amalia" w:hAnsi="Amalia"/>
                <w:color w:val="00B0F0"/>
                <w:lang w:val="en-US"/>
              </w:rPr>
              <w:t xml:space="preserve">Opera 15.0 </w:t>
            </w:r>
            <w:r w:rsidRPr="005B2F6A">
              <w:rPr>
                <w:rFonts w:ascii="Amalia" w:hAnsi="Amalia"/>
                <w:color w:val="00B0F0"/>
                <w:lang w:val="uk-UA"/>
              </w:rPr>
              <w:t>та вище,</w:t>
            </w:r>
          </w:p>
          <w:p w14:paraId="4C750249" w14:textId="77777777" w:rsidR="00912322" w:rsidRPr="005B2F6A" w:rsidRDefault="00912322" w:rsidP="00912322">
            <w:pPr>
              <w:pStyle w:val="a5"/>
              <w:numPr>
                <w:ilvl w:val="0"/>
                <w:numId w:val="1"/>
              </w:numPr>
              <w:rPr>
                <w:rFonts w:ascii="Amalia" w:hAnsi="Amalia"/>
                <w:color w:val="00B0F0"/>
                <w:lang w:val="uk-UA"/>
              </w:rPr>
            </w:pPr>
            <w:r w:rsidRPr="005B2F6A">
              <w:rPr>
                <w:rFonts w:ascii="Amalia" w:hAnsi="Amalia"/>
                <w:color w:val="00B0F0"/>
                <w:lang w:val="en-US"/>
              </w:rPr>
              <w:t xml:space="preserve">Safari 6.0 </w:t>
            </w:r>
            <w:r w:rsidRPr="005B2F6A">
              <w:rPr>
                <w:rFonts w:ascii="Amalia" w:hAnsi="Amalia"/>
                <w:color w:val="00B0F0"/>
                <w:lang w:val="uk-UA"/>
              </w:rPr>
              <w:t>та вище,</w:t>
            </w:r>
          </w:p>
          <w:p w14:paraId="3FE582DC" w14:textId="77777777" w:rsidR="00912322" w:rsidRPr="005B2F6A" w:rsidRDefault="00912322" w:rsidP="00912322">
            <w:pPr>
              <w:pStyle w:val="a5"/>
              <w:numPr>
                <w:ilvl w:val="0"/>
                <w:numId w:val="1"/>
              </w:numPr>
              <w:rPr>
                <w:rFonts w:ascii="Amalia" w:hAnsi="Amalia"/>
                <w:color w:val="00B0F0"/>
                <w:lang w:val="uk-UA"/>
              </w:rPr>
            </w:pPr>
            <w:r w:rsidRPr="005B2F6A">
              <w:rPr>
                <w:rFonts w:ascii="Amalia" w:hAnsi="Amalia"/>
                <w:color w:val="00B0F0"/>
                <w:lang w:val="en-US"/>
              </w:rPr>
              <w:t xml:space="preserve">Google Chrome 29.0 </w:t>
            </w:r>
            <w:r w:rsidRPr="005B2F6A">
              <w:rPr>
                <w:rFonts w:ascii="Amalia" w:hAnsi="Amalia"/>
                <w:color w:val="00B0F0"/>
                <w:lang w:val="uk-UA"/>
              </w:rPr>
              <w:t>та вище.</w:t>
            </w:r>
          </w:p>
        </w:tc>
      </w:tr>
    </w:tbl>
    <w:p w14:paraId="06649975" w14:textId="77777777" w:rsidR="008A2910" w:rsidRDefault="008A2910"/>
    <w:sectPr w:rsidR="008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3770" w14:textId="77777777" w:rsidR="00912322" w:rsidRDefault="00912322" w:rsidP="00912322">
      <w:pPr>
        <w:spacing w:after="0" w:line="240" w:lineRule="auto"/>
      </w:pPr>
      <w:r>
        <w:separator/>
      </w:r>
    </w:p>
  </w:endnote>
  <w:endnote w:type="continuationSeparator" w:id="0">
    <w:p w14:paraId="559F1289" w14:textId="77777777" w:rsidR="00912322" w:rsidRDefault="00912322" w:rsidP="009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malia">
    <w:panose1 w:val="020B0504020203020204"/>
    <w:charset w:val="CC"/>
    <w:family w:val="swiss"/>
    <w:pitch w:val="variable"/>
    <w:sig w:usb0="A000026F" w:usb1="1000001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BAFD" w14:textId="77777777" w:rsidR="00912322" w:rsidRDefault="00912322" w:rsidP="00912322">
      <w:pPr>
        <w:spacing w:after="0" w:line="240" w:lineRule="auto"/>
      </w:pPr>
      <w:r>
        <w:separator/>
      </w:r>
    </w:p>
  </w:footnote>
  <w:footnote w:type="continuationSeparator" w:id="0">
    <w:p w14:paraId="7D206EDF" w14:textId="77777777" w:rsidR="00912322" w:rsidRDefault="00912322" w:rsidP="0091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ECC"/>
    <w:multiLevelType w:val="hybridMultilevel"/>
    <w:tmpl w:val="F18E8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2"/>
    <w:rsid w:val="008A2910"/>
    <w:rsid w:val="009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30A1"/>
  <w15:chartTrackingRefBased/>
  <w15:docId w15:val="{84F29EC1-4135-4D51-B22E-F8C7C3D0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912322"/>
    <w:rPr>
      <w:color w:val="0563C1"/>
      <w:u w:val="single"/>
    </w:rPr>
  </w:style>
  <w:style w:type="paragraph" w:styleId="a5">
    <w:name w:val="footnote text"/>
    <w:basedOn w:val="a"/>
    <w:link w:val="a6"/>
    <w:uiPriority w:val="99"/>
    <w:unhideWhenUsed/>
    <w:rsid w:val="0091232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Текст виноски Знак"/>
    <w:basedOn w:val="a0"/>
    <w:link w:val="a5"/>
    <w:uiPriority w:val="99"/>
    <w:rsid w:val="009123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91232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2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ank.aval.ua/multiclien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raiffeisen.ua/web/" TargetMode="External"/><Relationship Id="rId10" Type="http://schemas.openxmlformats.org/officeDocument/2006/relationships/hyperlink" Target="https://ibank.aval.ua/internet-bank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ank.aval.ua" TargetMode="External"/><Relationship Id="rId14" Type="http://schemas.openxmlformats.org/officeDocument/2006/relationships/hyperlink" Target="https://ibank.aval.ua/internet-banking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 SOKIRA</dc:creator>
  <cp:keywords/>
  <dc:description/>
  <cp:lastModifiedBy>Myroslava SOKIRA</cp:lastModifiedBy>
  <cp:revision>1</cp:revision>
  <dcterms:created xsi:type="dcterms:W3CDTF">2022-06-15T16:27:00Z</dcterms:created>
  <dcterms:modified xsi:type="dcterms:W3CDTF">2022-06-15T16:28:00Z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0e55f-9d2d-43f4-8b64-8be9a254dee6_Enabled">
    <vt:lpwstr>true</vt:lpwstr>
  </property>
  <property fmtid="{D5CDD505-2E9C-101B-9397-08002B2CF9AE}" pid="3" name="MSIP_Label_e560e55f-9d2d-43f4-8b64-8be9a254dee6_SetDate">
    <vt:lpwstr>2022-06-15T16:27:49Z</vt:lpwstr>
  </property>
  <property fmtid="{D5CDD505-2E9C-101B-9397-08002B2CF9AE}" pid="4" name="MSIP_Label_e560e55f-9d2d-43f4-8b64-8be9a254dee6_Method">
    <vt:lpwstr>Privileged</vt:lpwstr>
  </property>
  <property fmtid="{D5CDD505-2E9C-101B-9397-08002B2CF9AE}" pid="5" name="MSIP_Label_e560e55f-9d2d-43f4-8b64-8be9a254dee6_Name">
    <vt:lpwstr>Whole RBI Group_0</vt:lpwstr>
  </property>
  <property fmtid="{D5CDD505-2E9C-101B-9397-08002B2CF9AE}" pid="6" name="MSIP_Label_e560e55f-9d2d-43f4-8b64-8be9a254dee6_SiteId">
    <vt:lpwstr>9b511fda-f0b1-43a5-b06e-1e720f64520a</vt:lpwstr>
  </property>
  <property fmtid="{D5CDD505-2E9C-101B-9397-08002B2CF9AE}" pid="7" name="MSIP_Label_e560e55f-9d2d-43f4-8b64-8be9a254dee6_ActionId">
    <vt:lpwstr>805dee46-0b8e-4fea-bbb8-1e0938c7de46</vt:lpwstr>
  </property>
  <property fmtid="{D5CDD505-2E9C-101B-9397-08002B2CF9AE}" pid="8" name="MSIP_Label_e560e55f-9d2d-43f4-8b64-8be9a254dee6_ContentBits">
    <vt:lpwstr>0</vt:lpwstr>
  </property>
</Properties>
</file>